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FE" w:rsidRPr="00F70AB7" w:rsidRDefault="006C69FE" w:rsidP="006C69FE">
      <w:pPr>
        <w:jc w:val="center"/>
        <w:rPr>
          <w:rFonts w:ascii="Sansa Con Pro Bold" w:hAnsi="Sansa Con Pro Bold"/>
          <w:b/>
          <w:sz w:val="44"/>
          <w:szCs w:val="44"/>
        </w:rPr>
      </w:pPr>
      <w:bookmarkStart w:id="0" w:name="_GoBack"/>
      <w:bookmarkEnd w:id="0"/>
      <w:r w:rsidRPr="00F70AB7">
        <w:rPr>
          <w:rFonts w:ascii="Sansa Con Pro Bold" w:hAnsi="Sansa Con Pro Bold"/>
          <w:b/>
          <w:sz w:val="44"/>
          <w:szCs w:val="44"/>
        </w:rPr>
        <w:t>Intentieverklaring</w:t>
      </w:r>
    </w:p>
    <w:p w:rsidR="006C69FE" w:rsidRPr="00F70AB7" w:rsidRDefault="006C69FE" w:rsidP="006C69FE">
      <w:pPr>
        <w:jc w:val="center"/>
        <w:rPr>
          <w:rFonts w:asciiTheme="minorHAnsi" w:hAnsiTheme="minorHAnsi"/>
          <w:sz w:val="28"/>
          <w:szCs w:val="28"/>
        </w:rPr>
      </w:pPr>
      <w:r w:rsidRPr="00F70AB7">
        <w:rPr>
          <w:rFonts w:asciiTheme="minorHAnsi" w:hAnsiTheme="minorHAnsi"/>
          <w:sz w:val="28"/>
          <w:szCs w:val="28"/>
        </w:rPr>
        <w:t>Lokaal emancipatiebeleid 2015-2017</w:t>
      </w:r>
    </w:p>
    <w:p w:rsidR="006C69FE" w:rsidRPr="006C69FE" w:rsidRDefault="006C69FE" w:rsidP="006C69FE">
      <w:pPr>
        <w:jc w:val="center"/>
        <w:rPr>
          <w:sz w:val="28"/>
          <w:szCs w:val="28"/>
        </w:rPr>
      </w:pPr>
      <w:r w:rsidRPr="00F70AB7">
        <w:rPr>
          <w:rFonts w:asciiTheme="minorHAnsi" w:hAnsiTheme="minorHAnsi"/>
          <w:sz w:val="28"/>
          <w:szCs w:val="28"/>
        </w:rPr>
        <w:t>lesbiennes, homoseksuelen, biseksuelen</w:t>
      </w:r>
      <w:r w:rsidR="00E964FF" w:rsidRPr="00F70AB7">
        <w:rPr>
          <w:rFonts w:asciiTheme="minorHAnsi" w:hAnsiTheme="minorHAnsi"/>
          <w:sz w:val="28"/>
          <w:szCs w:val="28"/>
        </w:rPr>
        <w:t>,</w:t>
      </w:r>
      <w:r w:rsidRPr="00F70AB7">
        <w:rPr>
          <w:rFonts w:asciiTheme="minorHAnsi" w:hAnsiTheme="minorHAnsi"/>
          <w:sz w:val="28"/>
          <w:szCs w:val="28"/>
        </w:rPr>
        <w:t xml:space="preserve"> transgenders </w:t>
      </w:r>
      <w:r w:rsidR="00E964FF" w:rsidRPr="00F70AB7">
        <w:rPr>
          <w:rFonts w:asciiTheme="minorHAnsi" w:hAnsiTheme="minorHAnsi"/>
          <w:sz w:val="28"/>
          <w:szCs w:val="28"/>
        </w:rPr>
        <w:t>en intersekse personen</w:t>
      </w:r>
      <w:r w:rsidR="00C626AE" w:rsidRPr="00F70AB7">
        <w:rPr>
          <w:rFonts w:asciiTheme="minorHAnsi" w:hAnsiTheme="minorHAnsi"/>
          <w:sz w:val="28"/>
          <w:szCs w:val="28"/>
        </w:rPr>
        <w:t xml:space="preserve"> (LHBTI)</w:t>
      </w:r>
    </w:p>
    <w:p w:rsidR="006C69FE" w:rsidRDefault="006C69FE" w:rsidP="006C69FE">
      <w:pPr>
        <w:jc w:val="center"/>
        <w:rPr>
          <w:sz w:val="28"/>
          <w:szCs w:val="28"/>
        </w:rPr>
      </w:pPr>
    </w:p>
    <w:p w:rsidR="00E964FF" w:rsidRDefault="00E964FF" w:rsidP="006453DF">
      <w:pPr>
        <w:spacing w:line="360" w:lineRule="auto"/>
        <w:rPr>
          <w:i/>
          <w:sz w:val="20"/>
          <w:szCs w:val="20"/>
        </w:rPr>
      </w:pPr>
    </w:p>
    <w:p w:rsidR="006C69FE" w:rsidRPr="00F70AB7" w:rsidRDefault="006C69FE" w:rsidP="00F70AB7">
      <w:pPr>
        <w:spacing w:line="312" w:lineRule="auto"/>
        <w:rPr>
          <w:rFonts w:asciiTheme="minorHAnsi" w:hAnsiTheme="minorHAnsi"/>
          <w:i/>
          <w:sz w:val="22"/>
          <w:szCs w:val="22"/>
        </w:rPr>
      </w:pPr>
      <w:r w:rsidRPr="00F70AB7">
        <w:rPr>
          <w:rFonts w:asciiTheme="minorHAnsi" w:hAnsiTheme="minorHAnsi"/>
          <w:i/>
          <w:sz w:val="22"/>
          <w:szCs w:val="22"/>
        </w:rPr>
        <w:t>Partijen:</w:t>
      </w:r>
    </w:p>
    <w:p w:rsidR="006C69FE" w:rsidRPr="00F70AB7" w:rsidRDefault="00E964FF" w:rsidP="00F70AB7">
      <w:pPr>
        <w:spacing w:line="312" w:lineRule="auto"/>
        <w:rPr>
          <w:rFonts w:asciiTheme="minorHAnsi" w:hAnsiTheme="minorHAnsi" w:cs="Arial"/>
          <w:iCs/>
          <w:sz w:val="22"/>
          <w:szCs w:val="22"/>
        </w:rPr>
      </w:pPr>
      <w:r w:rsidRPr="00F70AB7">
        <w:rPr>
          <w:rFonts w:asciiTheme="minorHAnsi" w:hAnsiTheme="minorHAnsi" w:cs="Arial"/>
          <w:iCs/>
          <w:sz w:val="22"/>
          <w:szCs w:val="22"/>
        </w:rPr>
        <w:t>Het college</w:t>
      </w:r>
      <w:r w:rsidR="006C69FE" w:rsidRPr="00F70AB7">
        <w:rPr>
          <w:rFonts w:asciiTheme="minorHAnsi" w:hAnsiTheme="minorHAnsi" w:cs="Arial"/>
          <w:iCs/>
          <w:sz w:val="22"/>
          <w:szCs w:val="22"/>
        </w:rPr>
        <w:t xml:space="preserve"> van de gemeente</w:t>
      </w:r>
      <w:r w:rsidRPr="00F70AB7">
        <w:rPr>
          <w:rFonts w:asciiTheme="minorHAnsi" w:hAnsiTheme="minorHAnsi" w:cs="Arial"/>
          <w:iCs/>
          <w:sz w:val="22"/>
          <w:szCs w:val="22"/>
        </w:rPr>
        <w:t xml:space="preserve"> Hilversum:</w:t>
      </w:r>
      <w:r w:rsidR="006C69FE" w:rsidRPr="00F70AB7">
        <w:rPr>
          <w:rFonts w:asciiTheme="minorHAnsi" w:hAnsiTheme="minorHAnsi" w:cs="Arial"/>
          <w:iCs/>
          <w:sz w:val="22"/>
          <w:szCs w:val="22"/>
        </w:rPr>
        <w:t xml:space="preserve"> </w:t>
      </w: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 xml:space="preserve">Van de hierna te noemen: </w:t>
      </w:r>
      <w:r w:rsidR="00E964FF" w:rsidRPr="00F70AB7">
        <w:rPr>
          <w:rFonts w:asciiTheme="minorHAnsi" w:hAnsiTheme="minorHAnsi"/>
          <w:sz w:val="22"/>
          <w:szCs w:val="22"/>
        </w:rPr>
        <w:t>regenboogstad</w:t>
      </w:r>
    </w:p>
    <w:p w:rsidR="006C69FE" w:rsidRPr="00F70AB7" w:rsidRDefault="006C69FE" w:rsidP="00F70AB7">
      <w:pPr>
        <w:spacing w:line="312" w:lineRule="auto"/>
        <w:rPr>
          <w:rFonts w:asciiTheme="minorHAnsi" w:hAnsiTheme="minorHAnsi"/>
          <w:sz w:val="22"/>
          <w:szCs w:val="22"/>
        </w:rPr>
      </w:pP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De minister van Onderwijs, Cultuur en Wetenschap handelend als bestuursorgaan en als vertegenwoordiger van de Staat der Nederlanden, hierna te noemen: de minister van OCW</w:t>
      </w:r>
    </w:p>
    <w:p w:rsidR="006453DF" w:rsidRPr="00F70AB7" w:rsidRDefault="006453DF" w:rsidP="00F70AB7">
      <w:pPr>
        <w:spacing w:line="312" w:lineRule="auto"/>
        <w:rPr>
          <w:rFonts w:asciiTheme="minorHAnsi" w:hAnsiTheme="minorHAnsi"/>
          <w:i/>
          <w:sz w:val="22"/>
          <w:szCs w:val="22"/>
        </w:rPr>
      </w:pPr>
    </w:p>
    <w:p w:rsidR="006C69FE" w:rsidRPr="00F70AB7" w:rsidRDefault="006C69FE" w:rsidP="00F70AB7">
      <w:pPr>
        <w:spacing w:line="312" w:lineRule="auto"/>
        <w:rPr>
          <w:rFonts w:asciiTheme="minorHAnsi" w:hAnsiTheme="minorHAnsi"/>
          <w:i/>
          <w:sz w:val="22"/>
          <w:szCs w:val="22"/>
        </w:rPr>
      </w:pPr>
      <w:r w:rsidRPr="00F70AB7">
        <w:rPr>
          <w:rFonts w:asciiTheme="minorHAnsi" w:hAnsiTheme="minorHAnsi"/>
          <w:i/>
          <w:sz w:val="22"/>
          <w:szCs w:val="22"/>
        </w:rPr>
        <w:t>Begrippen</w:t>
      </w:r>
    </w:p>
    <w:p w:rsidR="006C69FE" w:rsidRPr="00F70AB7" w:rsidRDefault="006C69FE" w:rsidP="00F70AB7">
      <w:pPr>
        <w:numPr>
          <w:ilvl w:val="0"/>
          <w:numId w:val="4"/>
        </w:numPr>
        <w:suppressAutoHyphens/>
        <w:spacing w:line="312" w:lineRule="auto"/>
        <w:rPr>
          <w:rFonts w:asciiTheme="minorHAnsi" w:hAnsiTheme="minorHAnsi"/>
          <w:sz w:val="22"/>
          <w:szCs w:val="22"/>
        </w:rPr>
      </w:pPr>
      <w:r w:rsidRPr="00F70AB7">
        <w:rPr>
          <w:rFonts w:asciiTheme="minorHAnsi" w:hAnsiTheme="minorHAnsi"/>
          <w:sz w:val="22"/>
          <w:szCs w:val="22"/>
        </w:rPr>
        <w:t>Homoseksuelen en transgenders: hiermee wordt gedoeld op de gehele populatie lesbische vrouwen, homoseksuele mannen, biseksuele mannen en vrouwen</w:t>
      </w:r>
      <w:r w:rsidR="00E964FF" w:rsidRPr="00F70AB7">
        <w:rPr>
          <w:rFonts w:asciiTheme="minorHAnsi" w:hAnsiTheme="minorHAnsi"/>
          <w:sz w:val="22"/>
          <w:szCs w:val="22"/>
        </w:rPr>
        <w:t>,</w:t>
      </w:r>
      <w:r w:rsidRPr="00F70AB7">
        <w:rPr>
          <w:rFonts w:asciiTheme="minorHAnsi" w:hAnsiTheme="minorHAnsi"/>
          <w:sz w:val="22"/>
          <w:szCs w:val="22"/>
        </w:rPr>
        <w:t xml:space="preserve"> transgender personen </w:t>
      </w:r>
      <w:r w:rsidR="00E964FF" w:rsidRPr="00F70AB7">
        <w:rPr>
          <w:rFonts w:asciiTheme="minorHAnsi" w:hAnsiTheme="minorHAnsi"/>
          <w:sz w:val="22"/>
          <w:szCs w:val="22"/>
        </w:rPr>
        <w:t xml:space="preserve">en intersekse personen </w:t>
      </w:r>
      <w:r w:rsidRPr="00F70AB7">
        <w:rPr>
          <w:rFonts w:asciiTheme="minorHAnsi" w:hAnsiTheme="minorHAnsi"/>
          <w:sz w:val="22"/>
          <w:szCs w:val="22"/>
        </w:rPr>
        <w:t>(LHBT</w:t>
      </w:r>
      <w:r w:rsidR="00E964FF" w:rsidRPr="00F70AB7">
        <w:rPr>
          <w:rFonts w:asciiTheme="minorHAnsi" w:hAnsiTheme="minorHAnsi"/>
          <w:sz w:val="22"/>
          <w:szCs w:val="22"/>
        </w:rPr>
        <w:t>I</w:t>
      </w:r>
      <w:r w:rsidRPr="00F70AB7">
        <w:rPr>
          <w:rFonts w:asciiTheme="minorHAnsi" w:hAnsiTheme="minorHAnsi"/>
          <w:sz w:val="22"/>
          <w:szCs w:val="22"/>
        </w:rPr>
        <w:t>-personen).</w:t>
      </w:r>
    </w:p>
    <w:p w:rsidR="006C69FE" w:rsidRPr="00F70AB7" w:rsidRDefault="006C69FE" w:rsidP="00F70AB7">
      <w:pPr>
        <w:spacing w:line="312" w:lineRule="auto"/>
        <w:rPr>
          <w:rFonts w:asciiTheme="minorHAnsi" w:hAnsiTheme="minorHAnsi"/>
          <w:sz w:val="22"/>
          <w:szCs w:val="22"/>
        </w:rPr>
      </w:pPr>
    </w:p>
    <w:p w:rsidR="006C69FE" w:rsidRPr="00F70AB7" w:rsidRDefault="006C69FE" w:rsidP="00F70AB7">
      <w:pPr>
        <w:spacing w:line="312" w:lineRule="auto"/>
        <w:rPr>
          <w:rFonts w:asciiTheme="minorHAnsi" w:hAnsiTheme="minorHAnsi"/>
          <w:i/>
          <w:sz w:val="22"/>
          <w:szCs w:val="22"/>
        </w:rPr>
      </w:pPr>
      <w:r w:rsidRPr="00F70AB7">
        <w:rPr>
          <w:rFonts w:asciiTheme="minorHAnsi" w:hAnsiTheme="minorHAnsi"/>
          <w:i/>
          <w:sz w:val="22"/>
          <w:szCs w:val="22"/>
        </w:rPr>
        <w:t>Overwegende:</w:t>
      </w:r>
    </w:p>
    <w:p w:rsidR="006C69FE" w:rsidRPr="00F70AB7" w:rsidRDefault="00F70AB7" w:rsidP="00F70AB7">
      <w:pPr>
        <w:numPr>
          <w:ilvl w:val="0"/>
          <w:numId w:val="1"/>
        </w:numPr>
        <w:suppressAutoHyphens/>
        <w:spacing w:line="312" w:lineRule="auto"/>
        <w:rPr>
          <w:rFonts w:asciiTheme="minorHAnsi" w:hAnsiTheme="minorHAnsi"/>
          <w:sz w:val="22"/>
          <w:szCs w:val="22"/>
        </w:rPr>
      </w:pPr>
      <w:r>
        <w:rPr>
          <w:i/>
          <w:noProof/>
          <w:sz w:val="20"/>
          <w:szCs w:val="20"/>
        </w:rPr>
        <w:drawing>
          <wp:anchor distT="0" distB="0" distL="114300" distR="114300" simplePos="0" relativeHeight="251660288" behindDoc="1" locked="0" layoutInCell="1" allowOverlap="1" wp14:anchorId="40AFAC22" wp14:editId="2E6B5936">
            <wp:simplePos x="0" y="0"/>
            <wp:positionH relativeFrom="page">
              <wp:align>left</wp:align>
            </wp:positionH>
            <wp:positionV relativeFrom="paragraph">
              <wp:posOffset>147955</wp:posOffset>
            </wp:positionV>
            <wp:extent cx="7675245" cy="5042535"/>
            <wp:effectExtent l="0" t="0" r="1905"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dhuis lhtbi.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7675245" cy="5042535"/>
                    </a:xfrm>
                    <a:prstGeom prst="rect">
                      <a:avLst/>
                    </a:prstGeom>
                  </pic:spPr>
                </pic:pic>
              </a:graphicData>
            </a:graphic>
            <wp14:sizeRelH relativeFrom="margin">
              <wp14:pctWidth>0</wp14:pctWidth>
            </wp14:sizeRelH>
            <wp14:sizeRelV relativeFrom="margin">
              <wp14:pctHeight>0</wp14:pctHeight>
            </wp14:sizeRelV>
          </wp:anchor>
        </w:drawing>
      </w:r>
      <w:r w:rsidR="006C69FE" w:rsidRPr="00F70AB7">
        <w:rPr>
          <w:rFonts w:asciiTheme="minorHAnsi" w:hAnsiTheme="minorHAnsi"/>
          <w:sz w:val="22"/>
          <w:szCs w:val="22"/>
        </w:rPr>
        <w:t>Dat Nederland internationaal koploper is als het gaat om de algemene sociale acceptatie van homoseksualiteit</w:t>
      </w:r>
      <w:r w:rsidR="00C626AE" w:rsidRPr="00F70AB7">
        <w:rPr>
          <w:rFonts w:asciiTheme="minorHAnsi" w:hAnsiTheme="minorHAnsi"/>
          <w:sz w:val="22"/>
          <w:szCs w:val="22"/>
        </w:rPr>
        <w:t>,</w:t>
      </w:r>
      <w:r w:rsidR="006C69FE" w:rsidRPr="00F70AB7">
        <w:rPr>
          <w:rFonts w:asciiTheme="minorHAnsi" w:hAnsiTheme="minorHAnsi"/>
          <w:sz w:val="22"/>
          <w:szCs w:val="22"/>
        </w:rPr>
        <w:t xml:space="preserve"> transgenders</w:t>
      </w:r>
      <w:r w:rsidR="00C626AE" w:rsidRPr="00F70AB7">
        <w:rPr>
          <w:rFonts w:asciiTheme="minorHAnsi" w:hAnsiTheme="minorHAnsi"/>
          <w:sz w:val="22"/>
          <w:szCs w:val="22"/>
        </w:rPr>
        <w:t xml:space="preserve"> en intersekse personen</w:t>
      </w:r>
      <w:r w:rsidR="006C69FE" w:rsidRPr="00F70AB7">
        <w:rPr>
          <w:rFonts w:asciiTheme="minorHAnsi" w:hAnsiTheme="minorHAnsi"/>
          <w:sz w:val="22"/>
          <w:szCs w:val="22"/>
        </w:rPr>
        <w:t xml:space="preserve"> en in de afgelopen decennia de acceptatie in ons land is verbeterd;</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Dat de acceptatie op lokaal niveau kan verschillen in aard en omvang;</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 xml:space="preserve">Dat elke gemeente in Nederland op basis van wet- en regelgeving mede zorg draagt voor onder meer de gelijke behandeling, sociale samenhang, veiligheid en leefbaarheid in de gemeente en maatschappelijke ondersteuning van inwoners;  </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Dat LHBT</w:t>
      </w:r>
      <w:r w:rsidR="00E964FF" w:rsidRPr="00F70AB7">
        <w:rPr>
          <w:rFonts w:asciiTheme="minorHAnsi" w:hAnsiTheme="minorHAnsi"/>
          <w:sz w:val="22"/>
          <w:szCs w:val="22"/>
        </w:rPr>
        <w:t>I</w:t>
      </w:r>
      <w:r w:rsidRPr="00F70AB7">
        <w:rPr>
          <w:rFonts w:asciiTheme="minorHAnsi" w:hAnsiTheme="minorHAnsi"/>
          <w:sz w:val="22"/>
          <w:szCs w:val="22"/>
        </w:rPr>
        <w:t xml:space="preserve">-personen recht hebben op veiligheid en op een eerlijke kans op participatie en een gelijkwaardige behandeling; </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 xml:space="preserve">Dat </w:t>
      </w:r>
      <w:r w:rsidR="00C626AE" w:rsidRPr="00F70AB7">
        <w:rPr>
          <w:rFonts w:asciiTheme="minorHAnsi" w:hAnsiTheme="minorHAnsi"/>
          <w:sz w:val="22"/>
          <w:szCs w:val="22"/>
        </w:rPr>
        <w:t>het college</w:t>
      </w:r>
      <w:r w:rsidRPr="00F70AB7">
        <w:rPr>
          <w:rFonts w:asciiTheme="minorHAnsi" w:hAnsiTheme="minorHAnsi"/>
          <w:sz w:val="22"/>
          <w:szCs w:val="22"/>
        </w:rPr>
        <w:t xml:space="preserve"> en de minister van OCW zich in dat licht zorgen maken over intimidatie en geweldsincidenten en uitingen van vijandigheid en daarmee gepaard gaande gevoelens van onveiligheid bij veel LHBT</w:t>
      </w:r>
      <w:r w:rsidR="00E964FF" w:rsidRPr="00F70AB7">
        <w:rPr>
          <w:rFonts w:asciiTheme="minorHAnsi" w:hAnsiTheme="minorHAnsi"/>
          <w:sz w:val="22"/>
          <w:szCs w:val="22"/>
        </w:rPr>
        <w:t>I</w:t>
      </w:r>
      <w:r w:rsidRPr="00F70AB7">
        <w:rPr>
          <w:rFonts w:asciiTheme="minorHAnsi" w:hAnsiTheme="minorHAnsi"/>
          <w:sz w:val="22"/>
          <w:szCs w:val="22"/>
        </w:rPr>
        <w:t xml:space="preserve">-personen; </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Dat het onacceptabel is dat LHBT</w:t>
      </w:r>
      <w:r w:rsidR="00E964FF" w:rsidRPr="00F70AB7">
        <w:rPr>
          <w:rFonts w:asciiTheme="minorHAnsi" w:hAnsiTheme="minorHAnsi"/>
          <w:sz w:val="22"/>
          <w:szCs w:val="22"/>
        </w:rPr>
        <w:t>I</w:t>
      </w:r>
      <w:r w:rsidRPr="00F70AB7">
        <w:rPr>
          <w:rFonts w:asciiTheme="minorHAnsi" w:hAnsiTheme="minorHAnsi"/>
          <w:sz w:val="22"/>
          <w:szCs w:val="22"/>
        </w:rPr>
        <w:t>-personen bijvoorbeeld op school, op straat, op het werk, in de zorg, in de sport en in hun eigen sociale kring niet (meer) durven uitkomen voor hun identiteit;</w:t>
      </w:r>
    </w:p>
    <w:p w:rsidR="006C69FE" w:rsidRPr="00F70AB7" w:rsidRDefault="006C69FE" w:rsidP="00F70AB7">
      <w:pPr>
        <w:numPr>
          <w:ilvl w:val="0"/>
          <w:numId w:val="1"/>
        </w:numPr>
        <w:suppressAutoHyphens/>
        <w:spacing w:line="312" w:lineRule="auto"/>
        <w:rPr>
          <w:rFonts w:asciiTheme="minorHAnsi" w:hAnsiTheme="minorHAnsi"/>
          <w:sz w:val="22"/>
          <w:szCs w:val="22"/>
        </w:rPr>
      </w:pPr>
      <w:r w:rsidRPr="00F70AB7">
        <w:rPr>
          <w:rFonts w:asciiTheme="minorHAnsi" w:hAnsiTheme="minorHAnsi"/>
          <w:sz w:val="22"/>
          <w:szCs w:val="22"/>
        </w:rPr>
        <w:t>Dat de ministe</w:t>
      </w:r>
      <w:r w:rsidR="00ED61EC" w:rsidRPr="00F70AB7">
        <w:rPr>
          <w:rFonts w:asciiTheme="minorHAnsi" w:hAnsiTheme="minorHAnsi"/>
          <w:sz w:val="22"/>
          <w:szCs w:val="22"/>
        </w:rPr>
        <w:t>r van OCW in de komende periode</w:t>
      </w:r>
      <w:r w:rsidRPr="00F70AB7">
        <w:rPr>
          <w:rFonts w:asciiTheme="minorHAnsi" w:hAnsiTheme="minorHAnsi"/>
          <w:sz w:val="22"/>
          <w:szCs w:val="22"/>
        </w:rPr>
        <w:t xml:space="preserve"> het </w:t>
      </w:r>
      <w:r w:rsidR="001E592E" w:rsidRPr="00F70AB7">
        <w:rPr>
          <w:rFonts w:asciiTheme="minorHAnsi" w:hAnsiTheme="minorHAnsi"/>
          <w:sz w:val="22"/>
          <w:szCs w:val="22"/>
        </w:rPr>
        <w:t>lokaal LHBT</w:t>
      </w:r>
      <w:r w:rsidR="00E964FF" w:rsidRPr="00F70AB7">
        <w:rPr>
          <w:rFonts w:asciiTheme="minorHAnsi" w:hAnsiTheme="minorHAnsi"/>
          <w:sz w:val="22"/>
          <w:szCs w:val="22"/>
        </w:rPr>
        <w:t>I</w:t>
      </w:r>
      <w:r w:rsidR="001E592E" w:rsidRPr="00F70AB7">
        <w:rPr>
          <w:rFonts w:asciiTheme="minorHAnsi" w:hAnsiTheme="minorHAnsi"/>
          <w:sz w:val="22"/>
          <w:szCs w:val="22"/>
        </w:rPr>
        <w:t xml:space="preserve">-emancipatiebeleid wil </w:t>
      </w:r>
      <w:r w:rsidRPr="00F70AB7">
        <w:rPr>
          <w:rFonts w:asciiTheme="minorHAnsi" w:hAnsiTheme="minorHAnsi"/>
          <w:sz w:val="22"/>
          <w:szCs w:val="22"/>
        </w:rPr>
        <w:t>stimuleren.</w:t>
      </w:r>
    </w:p>
    <w:p w:rsidR="006453DF" w:rsidRPr="00F70AB7" w:rsidRDefault="006453DF" w:rsidP="00F70AB7">
      <w:pPr>
        <w:spacing w:after="200" w:line="312" w:lineRule="auto"/>
        <w:rPr>
          <w:rFonts w:asciiTheme="minorHAnsi" w:hAnsiTheme="minorHAnsi"/>
          <w:sz w:val="22"/>
          <w:szCs w:val="22"/>
        </w:rPr>
      </w:pPr>
    </w:p>
    <w:p w:rsidR="002C290C" w:rsidRPr="00F70AB7" w:rsidRDefault="002C290C" w:rsidP="00F70AB7">
      <w:pPr>
        <w:spacing w:after="200" w:line="312" w:lineRule="auto"/>
        <w:rPr>
          <w:rFonts w:asciiTheme="minorHAnsi" w:hAnsiTheme="minorHAnsi"/>
          <w:i/>
          <w:sz w:val="22"/>
          <w:szCs w:val="22"/>
        </w:rPr>
      </w:pPr>
    </w:p>
    <w:p w:rsidR="00F70AB7" w:rsidRDefault="00F70AB7">
      <w:pPr>
        <w:spacing w:after="200" w:line="276" w:lineRule="auto"/>
        <w:rPr>
          <w:rFonts w:asciiTheme="minorHAnsi" w:hAnsiTheme="minorHAnsi"/>
          <w:i/>
          <w:sz w:val="22"/>
          <w:szCs w:val="22"/>
        </w:rPr>
      </w:pPr>
      <w:r>
        <w:rPr>
          <w:rFonts w:asciiTheme="minorHAnsi" w:hAnsiTheme="minorHAnsi"/>
          <w:i/>
          <w:sz w:val="22"/>
          <w:szCs w:val="22"/>
        </w:rPr>
        <w:br w:type="page"/>
      </w:r>
    </w:p>
    <w:p w:rsidR="006C69FE" w:rsidRPr="00F70AB7" w:rsidRDefault="00C626AE" w:rsidP="00F70AB7">
      <w:pPr>
        <w:spacing w:after="200" w:line="312" w:lineRule="auto"/>
        <w:rPr>
          <w:rFonts w:asciiTheme="minorHAnsi" w:hAnsiTheme="minorHAnsi"/>
          <w:i/>
          <w:sz w:val="22"/>
          <w:szCs w:val="22"/>
        </w:rPr>
      </w:pPr>
      <w:r w:rsidRPr="00F70AB7">
        <w:rPr>
          <w:rFonts w:asciiTheme="minorHAnsi" w:hAnsiTheme="minorHAnsi"/>
          <w:i/>
          <w:sz w:val="22"/>
          <w:szCs w:val="22"/>
        </w:rPr>
        <w:lastRenderedPageBreak/>
        <w:t>K</w:t>
      </w:r>
      <w:r w:rsidR="006C69FE" w:rsidRPr="00F70AB7">
        <w:rPr>
          <w:rFonts w:asciiTheme="minorHAnsi" w:hAnsiTheme="minorHAnsi"/>
          <w:i/>
          <w:sz w:val="22"/>
          <w:szCs w:val="22"/>
        </w:rPr>
        <w:t>omen het volgende overeen:</w:t>
      </w: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 xml:space="preserve">1. Gezamenlijke doelstellingen </w:t>
      </w: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Regenboogsteden zetten zich de komende periode samen met de minister van OCW in om de veiligheid, weerbaarheid en sociale acceptatie van LHBT</w:t>
      </w:r>
      <w:r w:rsidR="00E964FF" w:rsidRPr="00F70AB7">
        <w:rPr>
          <w:rFonts w:asciiTheme="minorHAnsi" w:hAnsiTheme="minorHAnsi"/>
          <w:sz w:val="22"/>
          <w:szCs w:val="22"/>
        </w:rPr>
        <w:t>I</w:t>
      </w:r>
      <w:r w:rsidRPr="00F70AB7">
        <w:rPr>
          <w:rFonts w:asciiTheme="minorHAnsi" w:hAnsiTheme="minorHAnsi"/>
          <w:sz w:val="22"/>
          <w:szCs w:val="22"/>
        </w:rPr>
        <w:t xml:space="preserve"> inwoners verder te bevorderen en hebben daarbij de volgende ambities:</w:t>
      </w:r>
    </w:p>
    <w:p w:rsidR="006C69FE" w:rsidRPr="00F70AB7" w:rsidRDefault="006C69FE" w:rsidP="00F70AB7">
      <w:pPr>
        <w:numPr>
          <w:ilvl w:val="0"/>
          <w:numId w:val="5"/>
        </w:numPr>
        <w:suppressAutoHyphens/>
        <w:spacing w:line="312" w:lineRule="auto"/>
        <w:rPr>
          <w:rFonts w:asciiTheme="minorHAnsi" w:hAnsiTheme="minorHAnsi"/>
          <w:sz w:val="22"/>
          <w:szCs w:val="22"/>
        </w:rPr>
      </w:pPr>
      <w:r w:rsidRPr="00F70AB7">
        <w:rPr>
          <w:rFonts w:asciiTheme="minorHAnsi" w:hAnsiTheme="minorHAnsi"/>
          <w:sz w:val="22"/>
          <w:szCs w:val="22"/>
        </w:rPr>
        <w:t>De sociale acceptatie van homoseksualiteit</w:t>
      </w:r>
      <w:r w:rsidR="00C626AE" w:rsidRPr="00F70AB7">
        <w:rPr>
          <w:rFonts w:asciiTheme="minorHAnsi" w:hAnsiTheme="minorHAnsi"/>
          <w:sz w:val="22"/>
          <w:szCs w:val="22"/>
        </w:rPr>
        <w:t>,</w:t>
      </w:r>
      <w:r w:rsidRPr="00F70AB7">
        <w:rPr>
          <w:rFonts w:asciiTheme="minorHAnsi" w:hAnsiTheme="minorHAnsi"/>
          <w:sz w:val="22"/>
          <w:szCs w:val="22"/>
        </w:rPr>
        <w:t xml:space="preserve"> transgenders</w:t>
      </w:r>
      <w:r w:rsidR="00C626AE" w:rsidRPr="00F70AB7">
        <w:rPr>
          <w:rFonts w:asciiTheme="minorHAnsi" w:hAnsiTheme="minorHAnsi"/>
          <w:sz w:val="22"/>
          <w:szCs w:val="22"/>
        </w:rPr>
        <w:t xml:space="preserve"> en intersekse personen</w:t>
      </w:r>
      <w:r w:rsidRPr="00F70AB7">
        <w:rPr>
          <w:rFonts w:asciiTheme="minorHAnsi" w:hAnsiTheme="minorHAnsi"/>
          <w:sz w:val="22"/>
          <w:szCs w:val="22"/>
        </w:rPr>
        <w:t xml:space="preserve"> neemt toe onder de gehele bevolking en met name onder jongeren, ouderen en in kringen waarin dat nog een taboe is;</w:t>
      </w:r>
    </w:p>
    <w:p w:rsidR="006C69FE" w:rsidRPr="00F70AB7" w:rsidRDefault="006C69FE" w:rsidP="00F70AB7">
      <w:pPr>
        <w:numPr>
          <w:ilvl w:val="0"/>
          <w:numId w:val="5"/>
        </w:numPr>
        <w:suppressAutoHyphens/>
        <w:spacing w:line="312" w:lineRule="auto"/>
        <w:rPr>
          <w:rFonts w:asciiTheme="minorHAnsi" w:hAnsiTheme="minorHAnsi"/>
          <w:sz w:val="22"/>
          <w:szCs w:val="22"/>
        </w:rPr>
      </w:pPr>
      <w:r w:rsidRPr="00F70AB7">
        <w:rPr>
          <w:rFonts w:asciiTheme="minorHAnsi" w:hAnsiTheme="minorHAnsi"/>
          <w:sz w:val="22"/>
          <w:szCs w:val="22"/>
        </w:rPr>
        <w:t>De aanpak van vooroordelen, discriminatie, intimidatie en geweld tegen LHBT</w:t>
      </w:r>
      <w:r w:rsidR="00E964FF" w:rsidRPr="00F70AB7">
        <w:rPr>
          <w:rFonts w:asciiTheme="minorHAnsi" w:hAnsiTheme="minorHAnsi"/>
          <w:sz w:val="22"/>
          <w:szCs w:val="22"/>
        </w:rPr>
        <w:t>I</w:t>
      </w:r>
      <w:r w:rsidRPr="00F70AB7">
        <w:rPr>
          <w:rFonts w:asciiTheme="minorHAnsi" w:hAnsiTheme="minorHAnsi"/>
          <w:sz w:val="22"/>
          <w:szCs w:val="22"/>
        </w:rPr>
        <w:t>-personen werpt zijn vruchten af;</w:t>
      </w:r>
    </w:p>
    <w:p w:rsidR="006C69FE" w:rsidRPr="00F70AB7" w:rsidRDefault="006C69FE" w:rsidP="00F70AB7">
      <w:pPr>
        <w:numPr>
          <w:ilvl w:val="0"/>
          <w:numId w:val="5"/>
        </w:numPr>
        <w:suppressAutoHyphens/>
        <w:spacing w:line="312" w:lineRule="auto"/>
        <w:rPr>
          <w:rFonts w:asciiTheme="minorHAnsi" w:hAnsiTheme="minorHAnsi"/>
          <w:sz w:val="22"/>
          <w:szCs w:val="22"/>
        </w:rPr>
      </w:pPr>
      <w:r w:rsidRPr="00F70AB7">
        <w:rPr>
          <w:rFonts w:asciiTheme="minorHAnsi" w:hAnsiTheme="minorHAnsi"/>
          <w:sz w:val="22"/>
          <w:szCs w:val="22"/>
        </w:rPr>
        <w:t>LHBT</w:t>
      </w:r>
      <w:r w:rsidR="00E964FF" w:rsidRPr="00F70AB7">
        <w:rPr>
          <w:rFonts w:asciiTheme="minorHAnsi" w:hAnsiTheme="minorHAnsi"/>
          <w:sz w:val="22"/>
          <w:szCs w:val="22"/>
        </w:rPr>
        <w:t>I</w:t>
      </w:r>
      <w:r w:rsidRPr="00F70AB7">
        <w:rPr>
          <w:rFonts w:asciiTheme="minorHAnsi" w:hAnsiTheme="minorHAnsi"/>
          <w:sz w:val="22"/>
          <w:szCs w:val="22"/>
        </w:rPr>
        <w:t>-personen weten zich gesteund en voelen zich veilig(er) en weerbaar(der) in het sociale domein: op school, op straat, op het werk, in de zorg en thuis, in de sport en in hun eigen sociale kring.</w:t>
      </w:r>
    </w:p>
    <w:p w:rsidR="006453DF" w:rsidRPr="00F70AB7" w:rsidRDefault="006453DF" w:rsidP="00F70AB7">
      <w:pPr>
        <w:spacing w:line="312" w:lineRule="auto"/>
        <w:rPr>
          <w:rFonts w:asciiTheme="minorHAnsi" w:hAnsiTheme="minorHAnsi"/>
          <w:sz w:val="22"/>
          <w:szCs w:val="22"/>
        </w:rPr>
      </w:pP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 xml:space="preserve">2. Bijdrage van regenboogsteden </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De regenboogsteden vertalen de gezamenlijke doelstellingen ten aanzien van veiligheid, weerbaarheid en sociale acceptatie van homoseksualiteit en transgenders naar lokale doelstellingen en een lokale aanpak voor de periode 2015-2017. Deze lokale doelen en aanpak komen tot stand in samenspraak met de lokale/regionale zelforganisatie en direct betrokkenen. Gemeenten zullen – waar dat mogelijk is – ook internationaal aandacht vragen voor de rechten, emancipatie en veiligheid van LHBT</w:t>
      </w:r>
      <w:r w:rsidR="00E964FF" w:rsidRPr="00F70AB7">
        <w:rPr>
          <w:rFonts w:asciiTheme="minorHAnsi" w:hAnsiTheme="minorHAnsi"/>
          <w:sz w:val="22"/>
          <w:szCs w:val="22"/>
        </w:rPr>
        <w:t>I</w:t>
      </w:r>
      <w:r w:rsidRPr="00F70AB7">
        <w:rPr>
          <w:rFonts w:asciiTheme="minorHAnsi" w:hAnsiTheme="minorHAnsi"/>
          <w:sz w:val="22"/>
          <w:szCs w:val="22"/>
        </w:rPr>
        <w:t>-personen.</w:t>
      </w:r>
      <w:r w:rsidRPr="00F70AB7">
        <w:rPr>
          <w:rStyle w:val="Voetnootmarkering"/>
          <w:rFonts w:asciiTheme="minorHAnsi" w:hAnsiTheme="minorHAnsi"/>
          <w:sz w:val="22"/>
          <w:szCs w:val="22"/>
        </w:rPr>
        <w:footnoteReference w:id="1"/>
      </w:r>
    </w:p>
    <w:p w:rsidR="006C69FE" w:rsidRPr="00F70AB7" w:rsidRDefault="00F70AB7" w:rsidP="00F70AB7">
      <w:pPr>
        <w:numPr>
          <w:ilvl w:val="0"/>
          <w:numId w:val="3"/>
        </w:numPr>
        <w:suppressAutoHyphens/>
        <w:spacing w:line="312" w:lineRule="auto"/>
        <w:rPr>
          <w:rFonts w:asciiTheme="minorHAnsi" w:hAnsiTheme="minorHAnsi"/>
          <w:sz w:val="22"/>
          <w:szCs w:val="22"/>
        </w:rPr>
      </w:pPr>
      <w:r>
        <w:rPr>
          <w:i/>
          <w:noProof/>
          <w:sz w:val="20"/>
          <w:szCs w:val="20"/>
        </w:rPr>
        <w:drawing>
          <wp:anchor distT="0" distB="0" distL="114300" distR="114300" simplePos="0" relativeHeight="251662336" behindDoc="1" locked="0" layoutInCell="1" allowOverlap="1" wp14:anchorId="40AFAC22" wp14:editId="2E6B5936">
            <wp:simplePos x="0" y="0"/>
            <wp:positionH relativeFrom="page">
              <wp:posOffset>0</wp:posOffset>
            </wp:positionH>
            <wp:positionV relativeFrom="paragraph">
              <wp:posOffset>319405</wp:posOffset>
            </wp:positionV>
            <wp:extent cx="7675245" cy="5042535"/>
            <wp:effectExtent l="0" t="0" r="1905"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dhuis lhtbi.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7675245" cy="5042535"/>
                    </a:xfrm>
                    <a:prstGeom prst="rect">
                      <a:avLst/>
                    </a:prstGeom>
                  </pic:spPr>
                </pic:pic>
              </a:graphicData>
            </a:graphic>
            <wp14:sizeRelH relativeFrom="margin">
              <wp14:pctWidth>0</wp14:pctWidth>
            </wp14:sizeRelH>
            <wp14:sizeRelV relativeFrom="margin">
              <wp14:pctHeight>0</wp14:pctHeight>
            </wp14:sizeRelV>
          </wp:anchor>
        </w:drawing>
      </w:r>
      <w:r w:rsidR="006C69FE" w:rsidRPr="00F70AB7">
        <w:rPr>
          <w:rFonts w:asciiTheme="minorHAnsi" w:hAnsiTheme="minorHAnsi"/>
          <w:sz w:val="22"/>
          <w:szCs w:val="22"/>
        </w:rPr>
        <w:t xml:space="preserve">De regenboogsteden spannen zich ervoor in om de aandacht voor dit thema een vaste plaats te geven binnen de eigen gemeente. </w:t>
      </w:r>
    </w:p>
    <w:p w:rsidR="002C290C"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De regenboogsteden stellen daartoe eigen middelen (budget of/en personele capaciteit) beschikbaar. Om ontwikkelingen te kunnen monitoren zullen de regenboogsteden zich ervoor inspannen om de sociale acceptatie onder de lokale bevolking te volgen en zo mogelijk ook de (on)veiligheidsgevoelens onder bevolkingsgroepen, waaronder LHBT</w:t>
      </w:r>
      <w:r w:rsidR="00E964FF" w:rsidRPr="00F70AB7">
        <w:rPr>
          <w:rFonts w:asciiTheme="minorHAnsi" w:hAnsiTheme="minorHAnsi"/>
          <w:sz w:val="22"/>
          <w:szCs w:val="22"/>
        </w:rPr>
        <w:t>I</w:t>
      </w:r>
      <w:r w:rsidRPr="00F70AB7">
        <w:rPr>
          <w:rFonts w:asciiTheme="minorHAnsi" w:hAnsiTheme="minorHAnsi"/>
          <w:sz w:val="22"/>
          <w:szCs w:val="22"/>
        </w:rPr>
        <w:t xml:space="preserve">. </w:t>
      </w:r>
      <w:r w:rsidR="00E964FF" w:rsidRPr="00F70AB7">
        <w:rPr>
          <w:rFonts w:asciiTheme="minorHAnsi" w:hAnsiTheme="minorHAnsi"/>
          <w:sz w:val="22"/>
          <w:szCs w:val="22"/>
        </w:rPr>
        <w:br/>
      </w:r>
      <w:r w:rsidRPr="00F70AB7">
        <w:rPr>
          <w:rFonts w:asciiTheme="minorHAnsi" w:hAnsiTheme="minorHAnsi"/>
          <w:sz w:val="22"/>
          <w:szCs w:val="22"/>
        </w:rPr>
        <w:t>In deze periode wordt de sociale acceptatie in elk geval eenmaal via een peiling gemeten.</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Vanwege het  gemeentegrens overstijgend bereik van activiteiten en voorzieningen – op dit terrein - nemen de regenboogsteden zich voor om kleinere gemeenten in de regio te informeren over hun aanpak en aanbod. De regenboogsteden voorzien de omringende gemeenten op verzoek van advies en informatie voor hun LHBT</w:t>
      </w:r>
      <w:r w:rsidR="00E964FF" w:rsidRPr="00F70AB7">
        <w:rPr>
          <w:rFonts w:asciiTheme="minorHAnsi" w:hAnsiTheme="minorHAnsi"/>
          <w:sz w:val="22"/>
          <w:szCs w:val="22"/>
        </w:rPr>
        <w:t>I</w:t>
      </w:r>
      <w:r w:rsidRPr="00F70AB7">
        <w:rPr>
          <w:rFonts w:asciiTheme="minorHAnsi" w:hAnsiTheme="minorHAnsi"/>
          <w:sz w:val="22"/>
          <w:szCs w:val="22"/>
        </w:rPr>
        <w:t>-emancipatiebeleid.</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 xml:space="preserve">Om een grotere efficiëntie en effectiviteit te bereiken, wisselen de regenboogsteden en het ministerie van OCW goede ervaringen met elkaar uit in het licht van de gezamenlijke en lokale doelen. Regenboogsteden stellen informatie beschikbaar over goede praktijkvoorbeelden aan MOVISIE. </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 xml:space="preserve">Na afloop van de planperiode (uiterlijk </w:t>
      </w:r>
      <w:r w:rsidR="00ED31F4" w:rsidRPr="00F70AB7">
        <w:rPr>
          <w:rFonts w:asciiTheme="minorHAnsi" w:hAnsiTheme="minorHAnsi"/>
          <w:sz w:val="22"/>
          <w:szCs w:val="22"/>
        </w:rPr>
        <w:t>2</w:t>
      </w:r>
      <w:r w:rsidRPr="00F70AB7">
        <w:rPr>
          <w:rFonts w:asciiTheme="minorHAnsi" w:hAnsiTheme="minorHAnsi"/>
          <w:sz w:val="22"/>
          <w:szCs w:val="22"/>
        </w:rPr>
        <w:t xml:space="preserve"> </w:t>
      </w:r>
      <w:r w:rsidR="00ED31F4" w:rsidRPr="00F70AB7">
        <w:rPr>
          <w:rFonts w:asciiTheme="minorHAnsi" w:hAnsiTheme="minorHAnsi"/>
          <w:sz w:val="22"/>
          <w:szCs w:val="22"/>
        </w:rPr>
        <w:t xml:space="preserve">april </w:t>
      </w:r>
      <w:r w:rsidRPr="00F70AB7">
        <w:rPr>
          <w:rFonts w:asciiTheme="minorHAnsi" w:hAnsiTheme="minorHAnsi"/>
          <w:sz w:val="22"/>
          <w:szCs w:val="22"/>
        </w:rPr>
        <w:t>201</w:t>
      </w:r>
      <w:r w:rsidR="00ED31F4" w:rsidRPr="00F70AB7">
        <w:rPr>
          <w:rFonts w:asciiTheme="minorHAnsi" w:hAnsiTheme="minorHAnsi"/>
          <w:sz w:val="22"/>
          <w:szCs w:val="22"/>
        </w:rPr>
        <w:t>8</w:t>
      </w:r>
      <w:r w:rsidRPr="00F70AB7">
        <w:rPr>
          <w:rFonts w:asciiTheme="minorHAnsi" w:hAnsiTheme="minorHAnsi"/>
          <w:sz w:val="22"/>
          <w:szCs w:val="22"/>
        </w:rPr>
        <w:t>) ontvangt de Directie Emancipatie van het ministerie van OCW ter kennisneming een inhoudelijk verslag.</w:t>
      </w:r>
    </w:p>
    <w:p w:rsidR="001F01CA" w:rsidRPr="00F70AB7" w:rsidRDefault="001F01CA" w:rsidP="00F70AB7">
      <w:pPr>
        <w:spacing w:after="200" w:line="312" w:lineRule="auto"/>
        <w:contextualSpacing/>
        <w:rPr>
          <w:rFonts w:asciiTheme="minorHAnsi" w:hAnsiTheme="minorHAnsi"/>
          <w:sz w:val="22"/>
          <w:szCs w:val="22"/>
        </w:rPr>
      </w:pPr>
    </w:p>
    <w:p w:rsidR="00F70AB7" w:rsidRDefault="00F70AB7">
      <w:pPr>
        <w:spacing w:after="200" w:line="276" w:lineRule="auto"/>
        <w:rPr>
          <w:rFonts w:asciiTheme="minorHAnsi" w:hAnsiTheme="minorHAnsi"/>
          <w:sz w:val="22"/>
          <w:szCs w:val="22"/>
        </w:rPr>
      </w:pPr>
      <w:r>
        <w:rPr>
          <w:rFonts w:asciiTheme="minorHAnsi" w:hAnsiTheme="minorHAnsi"/>
          <w:sz w:val="22"/>
          <w:szCs w:val="22"/>
        </w:rPr>
        <w:br w:type="page"/>
      </w:r>
    </w:p>
    <w:p w:rsidR="006C69FE" w:rsidRPr="00F70AB7" w:rsidRDefault="006C69FE" w:rsidP="00F70AB7">
      <w:pPr>
        <w:spacing w:after="200" w:line="312" w:lineRule="auto"/>
        <w:contextualSpacing/>
        <w:rPr>
          <w:rFonts w:asciiTheme="minorHAnsi" w:hAnsiTheme="minorHAnsi"/>
          <w:sz w:val="22"/>
          <w:szCs w:val="22"/>
        </w:rPr>
      </w:pPr>
      <w:r w:rsidRPr="00F70AB7">
        <w:rPr>
          <w:rFonts w:asciiTheme="minorHAnsi" w:hAnsiTheme="minorHAnsi"/>
          <w:sz w:val="22"/>
          <w:szCs w:val="22"/>
        </w:rPr>
        <w:lastRenderedPageBreak/>
        <w:t>3. Bijdrage van de minister van OCW</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De minister van OCW zorgt ervoor dat MOVISIE</w:t>
      </w:r>
      <w:r w:rsidR="001E592E" w:rsidRPr="00F70AB7">
        <w:rPr>
          <w:rFonts w:asciiTheme="minorHAnsi" w:hAnsiTheme="minorHAnsi"/>
          <w:sz w:val="22"/>
          <w:szCs w:val="22"/>
        </w:rPr>
        <w:t xml:space="preserve"> </w:t>
      </w:r>
      <w:r w:rsidRPr="00F70AB7">
        <w:rPr>
          <w:rFonts w:asciiTheme="minorHAnsi" w:hAnsiTheme="minorHAnsi"/>
          <w:sz w:val="22"/>
          <w:szCs w:val="22"/>
        </w:rPr>
        <w:t xml:space="preserve">ondersteuning </w:t>
      </w:r>
      <w:r w:rsidR="001E592E" w:rsidRPr="00F70AB7">
        <w:rPr>
          <w:rFonts w:asciiTheme="minorHAnsi" w:hAnsiTheme="minorHAnsi"/>
          <w:sz w:val="22"/>
          <w:szCs w:val="22"/>
        </w:rPr>
        <w:t>biedt op</w:t>
      </w:r>
      <w:r w:rsidRPr="00F70AB7">
        <w:rPr>
          <w:rFonts w:asciiTheme="minorHAnsi" w:hAnsiTheme="minorHAnsi"/>
          <w:sz w:val="22"/>
          <w:szCs w:val="22"/>
        </w:rPr>
        <w:t xml:space="preserve"> het verspreiden van kennis over goede praktijken om de veiligheid en weerbaarheid te verhogen en om de sociale acceptatie te bevorderen en waar mogelijk de internationale uitwisseling met andere regenboogsteden te stimuleren.</w:t>
      </w:r>
    </w:p>
    <w:p w:rsidR="006C69FE" w:rsidRPr="00F70AB7" w:rsidRDefault="006C69FE" w:rsidP="00F70AB7">
      <w:pPr>
        <w:numPr>
          <w:ilvl w:val="0"/>
          <w:numId w:val="3"/>
        </w:numPr>
        <w:suppressAutoHyphens/>
        <w:spacing w:line="312" w:lineRule="auto"/>
        <w:rPr>
          <w:rFonts w:asciiTheme="minorHAnsi" w:hAnsiTheme="minorHAnsi"/>
          <w:sz w:val="22"/>
          <w:szCs w:val="22"/>
        </w:rPr>
      </w:pPr>
      <w:r w:rsidRPr="00F70AB7">
        <w:rPr>
          <w:rFonts w:asciiTheme="minorHAnsi" w:hAnsiTheme="minorHAnsi"/>
          <w:sz w:val="22"/>
          <w:szCs w:val="22"/>
        </w:rPr>
        <w:t>De minister van OCW zorgt voor landelijke monitoring van de (on)veiligheidsgevoelens onder LHBT</w:t>
      </w:r>
      <w:r w:rsidR="00C626AE" w:rsidRPr="00F70AB7">
        <w:rPr>
          <w:rFonts w:asciiTheme="minorHAnsi" w:hAnsiTheme="minorHAnsi"/>
          <w:sz w:val="22"/>
          <w:szCs w:val="22"/>
        </w:rPr>
        <w:t>I</w:t>
      </w:r>
      <w:r w:rsidRPr="00F70AB7">
        <w:rPr>
          <w:rFonts w:asciiTheme="minorHAnsi" w:hAnsiTheme="minorHAnsi"/>
          <w:sz w:val="22"/>
          <w:szCs w:val="22"/>
        </w:rPr>
        <w:t>-personen, de sociale acceptatie onder de bevolking via monitoring door het Sociaal Cultureel Planbureau (SCP) en de sociale veiligheid in het onderwijs via de ‘Monitor sociale veiligheid in en rond scholen’.</w:t>
      </w:r>
    </w:p>
    <w:p w:rsidR="002C290C" w:rsidRPr="00F70AB7" w:rsidRDefault="002C290C" w:rsidP="00F70AB7">
      <w:pPr>
        <w:spacing w:after="200" w:line="312" w:lineRule="auto"/>
        <w:contextualSpacing/>
        <w:rPr>
          <w:rFonts w:asciiTheme="minorHAnsi" w:hAnsiTheme="minorHAnsi"/>
          <w:sz w:val="22"/>
          <w:szCs w:val="22"/>
        </w:rPr>
      </w:pPr>
    </w:p>
    <w:p w:rsidR="006C69FE" w:rsidRPr="00F70AB7" w:rsidRDefault="006C69FE" w:rsidP="00F70AB7">
      <w:pPr>
        <w:spacing w:after="200" w:line="312" w:lineRule="auto"/>
        <w:contextualSpacing/>
        <w:rPr>
          <w:rFonts w:asciiTheme="minorHAnsi" w:hAnsiTheme="minorHAnsi"/>
          <w:sz w:val="22"/>
          <w:szCs w:val="22"/>
        </w:rPr>
      </w:pPr>
      <w:r w:rsidRPr="00F70AB7">
        <w:rPr>
          <w:rFonts w:asciiTheme="minorHAnsi" w:hAnsiTheme="minorHAnsi"/>
          <w:sz w:val="22"/>
          <w:szCs w:val="22"/>
        </w:rPr>
        <w:t>4. Landelijke informatie- en slotbijeenkomst</w:t>
      </w:r>
    </w:p>
    <w:p w:rsidR="006C69FE" w:rsidRPr="00F70AB7" w:rsidRDefault="006C69FE" w:rsidP="00F70AB7">
      <w:pPr>
        <w:numPr>
          <w:ilvl w:val="0"/>
          <w:numId w:val="2"/>
        </w:numPr>
        <w:suppressAutoHyphens/>
        <w:spacing w:line="312" w:lineRule="auto"/>
        <w:rPr>
          <w:rFonts w:asciiTheme="minorHAnsi" w:hAnsiTheme="minorHAnsi"/>
          <w:sz w:val="22"/>
          <w:szCs w:val="22"/>
        </w:rPr>
      </w:pPr>
      <w:r w:rsidRPr="00F70AB7">
        <w:rPr>
          <w:rFonts w:asciiTheme="minorHAnsi" w:hAnsiTheme="minorHAnsi"/>
          <w:sz w:val="22"/>
          <w:szCs w:val="22"/>
        </w:rPr>
        <w:t>De regenboogsteden en de minister van OCW zullen in 2017 een landelijke bijeenkomst houden, waarin opgedane kennis wordt uitgewisseld.</w:t>
      </w:r>
    </w:p>
    <w:p w:rsidR="006C69FE" w:rsidRPr="00F70AB7" w:rsidRDefault="006C69FE" w:rsidP="00F70AB7">
      <w:pPr>
        <w:spacing w:line="312" w:lineRule="auto"/>
        <w:rPr>
          <w:rFonts w:asciiTheme="minorHAnsi" w:hAnsiTheme="minorHAnsi"/>
          <w:sz w:val="22"/>
          <w:szCs w:val="22"/>
        </w:rPr>
      </w:pPr>
    </w:p>
    <w:p w:rsidR="006C69FE" w:rsidRPr="00F70AB7" w:rsidRDefault="006C69FE" w:rsidP="00F70AB7">
      <w:pPr>
        <w:spacing w:line="312" w:lineRule="auto"/>
        <w:rPr>
          <w:rFonts w:asciiTheme="minorHAnsi" w:hAnsiTheme="minorHAnsi"/>
          <w:sz w:val="22"/>
          <w:szCs w:val="22"/>
        </w:rPr>
      </w:pPr>
      <w:r w:rsidRPr="00F70AB7">
        <w:rPr>
          <w:rFonts w:asciiTheme="minorHAnsi" w:hAnsiTheme="minorHAnsi"/>
          <w:sz w:val="22"/>
          <w:szCs w:val="22"/>
        </w:rPr>
        <w:t>5. Inwerkingtreding en looptijd</w:t>
      </w:r>
    </w:p>
    <w:p w:rsidR="006C69FE" w:rsidRPr="00F70AB7" w:rsidRDefault="006C69FE" w:rsidP="00F70AB7">
      <w:pPr>
        <w:numPr>
          <w:ilvl w:val="0"/>
          <w:numId w:val="2"/>
        </w:numPr>
        <w:suppressAutoHyphens/>
        <w:spacing w:line="312" w:lineRule="auto"/>
        <w:rPr>
          <w:rFonts w:asciiTheme="minorHAnsi" w:hAnsiTheme="minorHAnsi"/>
          <w:sz w:val="22"/>
          <w:szCs w:val="22"/>
        </w:rPr>
      </w:pPr>
      <w:r w:rsidRPr="00F70AB7">
        <w:rPr>
          <w:rFonts w:asciiTheme="minorHAnsi" w:hAnsiTheme="minorHAnsi"/>
          <w:sz w:val="22"/>
          <w:szCs w:val="22"/>
        </w:rPr>
        <w:t>De wethouders van de regenboogsteden zullen deze intentieverklaring gericht op de uitvoering op lokaa</w:t>
      </w:r>
      <w:r w:rsidR="00ED31F4" w:rsidRPr="00F70AB7">
        <w:rPr>
          <w:rFonts w:asciiTheme="minorHAnsi" w:hAnsiTheme="minorHAnsi"/>
          <w:sz w:val="22"/>
          <w:szCs w:val="22"/>
        </w:rPr>
        <w:t>l niveau van januari 2015 t/m 3</w:t>
      </w:r>
      <w:r w:rsidRPr="00F70AB7">
        <w:rPr>
          <w:rFonts w:asciiTheme="minorHAnsi" w:hAnsiTheme="minorHAnsi"/>
          <w:sz w:val="22"/>
          <w:szCs w:val="22"/>
        </w:rPr>
        <w:t xml:space="preserve"> </w:t>
      </w:r>
      <w:r w:rsidR="00ED31F4" w:rsidRPr="00F70AB7">
        <w:rPr>
          <w:rFonts w:asciiTheme="minorHAnsi" w:hAnsiTheme="minorHAnsi"/>
          <w:sz w:val="22"/>
          <w:szCs w:val="22"/>
        </w:rPr>
        <w:t xml:space="preserve">december </w:t>
      </w:r>
      <w:r w:rsidRPr="00F70AB7">
        <w:rPr>
          <w:rFonts w:asciiTheme="minorHAnsi" w:hAnsiTheme="minorHAnsi"/>
          <w:sz w:val="22"/>
          <w:szCs w:val="22"/>
        </w:rPr>
        <w:t>2017, met positief advies voorleggen aan het college van B&amp;W.</w:t>
      </w:r>
    </w:p>
    <w:p w:rsidR="006C69FE" w:rsidRPr="00F70AB7" w:rsidRDefault="006C69FE" w:rsidP="00F70AB7">
      <w:pPr>
        <w:numPr>
          <w:ilvl w:val="0"/>
          <w:numId w:val="2"/>
        </w:numPr>
        <w:suppressAutoHyphens/>
        <w:spacing w:line="312" w:lineRule="auto"/>
        <w:rPr>
          <w:rFonts w:asciiTheme="minorHAnsi" w:hAnsiTheme="minorHAnsi"/>
          <w:sz w:val="22"/>
          <w:szCs w:val="22"/>
        </w:rPr>
      </w:pPr>
      <w:r w:rsidRPr="00F70AB7">
        <w:rPr>
          <w:rFonts w:asciiTheme="minorHAnsi" w:hAnsiTheme="minorHAnsi"/>
          <w:sz w:val="22"/>
          <w:szCs w:val="22"/>
        </w:rPr>
        <w:t xml:space="preserve">De wethouders van de regenboogsteden vertalen de intentieverklaring in een lokaal meerjarenplan, dat door het college van B&amp;W wordt vastgesteld. Een afschrift van het lokale meerjarenplan wordt ter kennisneming aan het ministerie van OCW voorgelegd. </w:t>
      </w:r>
    </w:p>
    <w:p w:rsidR="00E964FF" w:rsidRDefault="00D667F8">
      <w:pPr>
        <w:spacing w:after="200" w:line="276" w:lineRule="auto"/>
        <w:rPr>
          <w:sz w:val="20"/>
          <w:szCs w:val="20"/>
        </w:rPr>
      </w:pPr>
      <w:r>
        <w:rPr>
          <w:sz w:val="20"/>
          <w:szCs w:val="20"/>
        </w:rPr>
        <w:t xml:space="preserve"> </w:t>
      </w:r>
    </w:p>
    <w:p w:rsidR="002C290C" w:rsidRDefault="00F70AB7">
      <w:pPr>
        <w:spacing w:after="200" w:line="276" w:lineRule="auto"/>
        <w:rPr>
          <w:sz w:val="20"/>
          <w:szCs w:val="20"/>
        </w:rPr>
      </w:pPr>
      <w:r>
        <w:rPr>
          <w:i/>
          <w:noProof/>
          <w:sz w:val="20"/>
          <w:szCs w:val="20"/>
        </w:rPr>
        <w:drawing>
          <wp:anchor distT="0" distB="0" distL="114300" distR="114300" simplePos="0" relativeHeight="251664384" behindDoc="1" locked="0" layoutInCell="1" allowOverlap="1" wp14:anchorId="40AFAC22" wp14:editId="2E6B5936">
            <wp:simplePos x="0" y="0"/>
            <wp:positionH relativeFrom="page">
              <wp:align>right</wp:align>
            </wp:positionH>
            <wp:positionV relativeFrom="paragraph">
              <wp:posOffset>170815</wp:posOffset>
            </wp:positionV>
            <wp:extent cx="7675245" cy="5042535"/>
            <wp:effectExtent l="0" t="0" r="190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dhuis lhtbi.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7675245" cy="504253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34" w:type="dxa"/>
        <w:shd w:val="clear" w:color="auto" w:fill="C6D9F1"/>
        <w:tblLook w:val="04A0" w:firstRow="1" w:lastRow="0" w:firstColumn="1" w:lastColumn="0" w:noHBand="0" w:noVBand="1"/>
      </w:tblPr>
      <w:tblGrid>
        <w:gridCol w:w="9781"/>
      </w:tblGrid>
      <w:tr w:rsidR="006C69FE" w:rsidTr="006C69FE">
        <w:trPr>
          <w:trHeight w:val="362"/>
        </w:trPr>
        <w:tc>
          <w:tcPr>
            <w:tcW w:w="9997" w:type="dxa"/>
            <w:shd w:val="clear" w:color="auto" w:fill="C6D9F1"/>
          </w:tcPr>
          <w:p w:rsidR="006C69FE" w:rsidRPr="00F70AB7" w:rsidRDefault="006C69FE" w:rsidP="00DD4A60">
            <w:pPr>
              <w:jc w:val="center"/>
              <w:rPr>
                <w:rFonts w:asciiTheme="minorHAnsi" w:hAnsiTheme="minorHAnsi"/>
                <w:b/>
                <w:sz w:val="22"/>
                <w:szCs w:val="22"/>
              </w:rPr>
            </w:pPr>
            <w:r w:rsidRPr="00F70AB7">
              <w:rPr>
                <w:rFonts w:asciiTheme="minorHAnsi" w:hAnsiTheme="minorHAnsi"/>
                <w:b/>
                <w:sz w:val="22"/>
                <w:szCs w:val="22"/>
              </w:rPr>
              <w:t>Aldus overeengekomen en ondertekend</w:t>
            </w:r>
            <w:r w:rsidR="00DD4A60" w:rsidRPr="00F70AB7">
              <w:rPr>
                <w:rFonts w:asciiTheme="minorHAnsi" w:hAnsiTheme="minorHAnsi"/>
                <w:b/>
                <w:sz w:val="22"/>
                <w:szCs w:val="22"/>
              </w:rPr>
              <w:t xml:space="preserve"> op 17 mei 2017 te Hilversum</w:t>
            </w:r>
          </w:p>
        </w:tc>
      </w:tr>
    </w:tbl>
    <w:p w:rsidR="006C69FE" w:rsidRDefault="006C69FE" w:rsidP="006C69FE"/>
    <w:p w:rsidR="00E964FF" w:rsidRDefault="00E964FF" w:rsidP="00D667F8">
      <w:pPr>
        <w:ind w:left="3540" w:firstLine="288"/>
      </w:pPr>
    </w:p>
    <w:p w:rsidR="00E964FF" w:rsidRDefault="00F70AB7" w:rsidP="00F70AB7">
      <w:pPr>
        <w:ind w:left="3540" w:firstLine="288"/>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1883410" cy="49974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stad Hilversum liggend.png"/>
                    <pic:cNvPicPr/>
                  </pic:nvPicPr>
                  <pic:blipFill>
                    <a:blip r:embed="rId8">
                      <a:extLst>
                        <a:ext uri="{28A0092B-C50C-407E-A947-70E740481C1C}">
                          <a14:useLocalDpi xmlns:a14="http://schemas.microsoft.com/office/drawing/2010/main" val="0"/>
                        </a:ext>
                      </a:extLst>
                    </a:blip>
                    <a:stretch>
                      <a:fillRect/>
                    </a:stretch>
                  </pic:blipFill>
                  <pic:spPr>
                    <a:xfrm>
                      <a:off x="0" y="0"/>
                      <a:ext cx="1883410" cy="499745"/>
                    </a:xfrm>
                    <a:prstGeom prst="rect">
                      <a:avLst/>
                    </a:prstGeom>
                  </pic:spPr>
                </pic:pic>
              </a:graphicData>
            </a:graphic>
          </wp:anchor>
        </w:drawing>
      </w:r>
    </w:p>
    <w:p w:rsidR="00E964FF" w:rsidRDefault="00E964FF" w:rsidP="00D667F8">
      <w:pPr>
        <w:ind w:left="3540" w:firstLine="288"/>
      </w:pPr>
    </w:p>
    <w:p w:rsidR="00E964FF" w:rsidRDefault="00E964FF" w:rsidP="00D667F8">
      <w:pPr>
        <w:ind w:left="3540" w:firstLine="288"/>
      </w:pPr>
    </w:p>
    <w:p w:rsidR="00F70AB7" w:rsidRDefault="00F70AB7" w:rsidP="00C626AE">
      <w:pPr>
        <w:ind w:left="2268" w:hanging="2268"/>
      </w:pPr>
    </w:p>
    <w:p w:rsidR="00F70AB7" w:rsidRDefault="00F70AB7" w:rsidP="00C626AE">
      <w:pPr>
        <w:ind w:left="2268" w:hanging="2268"/>
      </w:pPr>
    </w:p>
    <w:p w:rsidR="00F70AB7" w:rsidRDefault="00F70AB7" w:rsidP="00C626AE">
      <w:pPr>
        <w:ind w:left="2268" w:hanging="2268"/>
      </w:pPr>
    </w:p>
    <w:p w:rsidR="00C626AE" w:rsidRPr="00F70AB7" w:rsidRDefault="00C626AE" w:rsidP="00C626AE">
      <w:pPr>
        <w:ind w:left="2268" w:hanging="2268"/>
        <w:rPr>
          <w:rFonts w:asciiTheme="minorHAnsi" w:hAnsiTheme="minorHAnsi"/>
          <w:sz w:val="22"/>
          <w:szCs w:val="22"/>
        </w:rPr>
      </w:pPr>
      <w:r w:rsidRPr="00F70AB7">
        <w:rPr>
          <w:rFonts w:asciiTheme="minorHAnsi" w:hAnsiTheme="minorHAnsi"/>
          <w:sz w:val="22"/>
          <w:szCs w:val="22"/>
        </w:rPr>
        <w:t>Namens het college van burgemeester en wethouders van de gemeente Hilversum,</w:t>
      </w:r>
    </w:p>
    <w:p w:rsidR="00C626AE" w:rsidRPr="00F70AB7" w:rsidRDefault="00C626AE" w:rsidP="00C626AE">
      <w:pPr>
        <w:ind w:left="2268" w:hanging="2268"/>
        <w:rPr>
          <w:rFonts w:asciiTheme="minorHAnsi" w:hAnsiTheme="minorHAnsi"/>
          <w:sz w:val="22"/>
          <w:szCs w:val="22"/>
        </w:rPr>
      </w:pPr>
    </w:p>
    <w:p w:rsidR="00C626AE" w:rsidRPr="00F70AB7" w:rsidRDefault="00C626AE" w:rsidP="00C626AE">
      <w:pPr>
        <w:ind w:left="2268" w:hanging="2268"/>
        <w:rPr>
          <w:rFonts w:asciiTheme="minorHAnsi" w:hAnsiTheme="minorHAnsi"/>
          <w:sz w:val="22"/>
          <w:szCs w:val="22"/>
        </w:rPr>
      </w:pPr>
    </w:p>
    <w:p w:rsidR="00C626AE" w:rsidRPr="00F70AB7" w:rsidRDefault="00C626AE" w:rsidP="00C626AE">
      <w:pPr>
        <w:ind w:left="2268" w:hanging="2268"/>
        <w:rPr>
          <w:rFonts w:asciiTheme="minorHAnsi" w:hAnsiTheme="minorHAnsi"/>
          <w:sz w:val="22"/>
          <w:szCs w:val="22"/>
        </w:rPr>
      </w:pPr>
    </w:p>
    <w:p w:rsidR="00C626AE" w:rsidRPr="00F70AB7" w:rsidRDefault="00C626AE" w:rsidP="00C626AE">
      <w:pPr>
        <w:ind w:left="2268" w:hanging="2268"/>
        <w:rPr>
          <w:rFonts w:asciiTheme="minorHAnsi" w:hAnsiTheme="minorHAnsi"/>
          <w:sz w:val="22"/>
          <w:szCs w:val="22"/>
        </w:rPr>
      </w:pPr>
    </w:p>
    <w:p w:rsidR="00C626AE" w:rsidRPr="00F70AB7" w:rsidRDefault="00C626AE" w:rsidP="00C626AE">
      <w:pPr>
        <w:ind w:left="2268" w:hanging="2268"/>
        <w:rPr>
          <w:rFonts w:asciiTheme="minorHAnsi" w:hAnsiTheme="minorHAnsi"/>
          <w:sz w:val="22"/>
          <w:szCs w:val="22"/>
        </w:rPr>
      </w:pPr>
    </w:p>
    <w:p w:rsidR="006C69FE" w:rsidRPr="00F70AB7" w:rsidRDefault="00C626AE" w:rsidP="00C626AE">
      <w:pPr>
        <w:ind w:left="2268" w:hanging="2268"/>
        <w:rPr>
          <w:rFonts w:asciiTheme="minorHAnsi" w:hAnsiTheme="minorHAnsi"/>
          <w:color w:val="BFBFBF"/>
          <w:sz w:val="22"/>
          <w:szCs w:val="22"/>
        </w:rPr>
      </w:pPr>
      <w:r w:rsidRPr="00F70AB7">
        <w:rPr>
          <w:rFonts w:asciiTheme="minorHAnsi" w:hAnsiTheme="minorHAnsi"/>
          <w:sz w:val="22"/>
          <w:szCs w:val="22"/>
        </w:rPr>
        <w:t xml:space="preserve">Burgemeester P.I. Broertjes </w:t>
      </w:r>
    </w:p>
    <w:sectPr w:rsidR="006C69FE" w:rsidRPr="00F70AB7" w:rsidSect="00F70AB7">
      <w:pgSz w:w="11907" w:h="16839" w:code="9"/>
      <w:pgMar w:top="1440" w:right="1080" w:bottom="56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FF" w:rsidRDefault="00E964FF" w:rsidP="006C69FE">
      <w:pPr>
        <w:spacing w:line="240" w:lineRule="auto"/>
      </w:pPr>
      <w:r>
        <w:separator/>
      </w:r>
    </w:p>
  </w:endnote>
  <w:endnote w:type="continuationSeparator" w:id="0">
    <w:p w:rsidR="00E964FF" w:rsidRDefault="00E964FF" w:rsidP="006C6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a Con Pro Bold">
    <w:panose1 w:val="00000000000000000000"/>
    <w:charset w:val="00"/>
    <w:family w:val="modern"/>
    <w:notTrueType/>
    <w:pitch w:val="variable"/>
    <w:sig w:usb0="800000AF" w:usb1="5000204B"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FF" w:rsidRDefault="00E964FF" w:rsidP="006C69FE">
      <w:pPr>
        <w:spacing w:line="240" w:lineRule="auto"/>
      </w:pPr>
      <w:r>
        <w:separator/>
      </w:r>
    </w:p>
  </w:footnote>
  <w:footnote w:type="continuationSeparator" w:id="0">
    <w:p w:rsidR="00E964FF" w:rsidRDefault="00E964FF" w:rsidP="006C69FE">
      <w:pPr>
        <w:spacing w:line="240" w:lineRule="auto"/>
      </w:pPr>
      <w:r>
        <w:continuationSeparator/>
      </w:r>
    </w:p>
  </w:footnote>
  <w:footnote w:id="1">
    <w:p w:rsidR="00E964FF" w:rsidRDefault="00E964FF" w:rsidP="006C69FE">
      <w:pPr>
        <w:pStyle w:val="Voetnoottekst"/>
        <w:spacing w:line="100" w:lineRule="atLeast"/>
        <w:rPr>
          <w:sz w:val="16"/>
          <w:szCs w:val="16"/>
        </w:rPr>
      </w:pPr>
      <w:r w:rsidRPr="00F70AB7">
        <w:rPr>
          <w:rStyle w:val="Voetnoottekens"/>
          <w:rFonts w:asciiTheme="minorHAnsi" w:hAnsiTheme="minorHAnsi"/>
        </w:rPr>
        <w:footnoteRef/>
      </w:r>
      <w:r>
        <w:rPr>
          <w:sz w:val="16"/>
          <w:szCs w:val="16"/>
        </w:rPr>
        <w:tab/>
      </w:r>
      <w:r w:rsidRPr="00F70AB7">
        <w:rPr>
          <w:rFonts w:asciiTheme="minorHAnsi" w:hAnsiTheme="minorHAnsi"/>
          <w:sz w:val="18"/>
          <w:szCs w:val="18"/>
        </w:rPr>
        <w:t>Bijvoorbeeld: in stedenbanden,  het Committee of the Regions van de EU,  het Congress of local and regional authorities van de Raad van Europa en het Europese Rainbow Cities Netwerk.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lvl w:ilvl="0">
      <w:start w:val="1"/>
      <w:numFmt w:val="bullet"/>
      <w:lvlText w:val=""/>
      <w:lvlJc w:val="left"/>
      <w:pPr>
        <w:tabs>
          <w:tab w:val="num" w:pos="360"/>
        </w:tabs>
        <w:ind w:left="360" w:hanging="360"/>
      </w:pPr>
      <w:rPr>
        <w:rFonts w:ascii="Symbol" w:hAnsi="Symbol" w:cs="Arial"/>
      </w:rPr>
    </w:lvl>
  </w:abstractNum>
  <w:abstractNum w:abstractNumId="4"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FE"/>
    <w:rsid w:val="001E592E"/>
    <w:rsid w:val="001F01CA"/>
    <w:rsid w:val="002C290C"/>
    <w:rsid w:val="003371F3"/>
    <w:rsid w:val="004F27C8"/>
    <w:rsid w:val="00537F0A"/>
    <w:rsid w:val="005D12F5"/>
    <w:rsid w:val="006205AC"/>
    <w:rsid w:val="006371FE"/>
    <w:rsid w:val="00637300"/>
    <w:rsid w:val="00637958"/>
    <w:rsid w:val="006453DF"/>
    <w:rsid w:val="006C69FE"/>
    <w:rsid w:val="00832E88"/>
    <w:rsid w:val="00896140"/>
    <w:rsid w:val="0096772A"/>
    <w:rsid w:val="00C21DD6"/>
    <w:rsid w:val="00C626AE"/>
    <w:rsid w:val="00D61FEE"/>
    <w:rsid w:val="00D667F8"/>
    <w:rsid w:val="00DD4A60"/>
    <w:rsid w:val="00E171EF"/>
    <w:rsid w:val="00E964FF"/>
    <w:rsid w:val="00ED31F4"/>
    <w:rsid w:val="00ED61EC"/>
    <w:rsid w:val="00F57DAE"/>
    <w:rsid w:val="00F70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4F1BD-8130-4475-8FC4-FCCA729B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customStyle="1" w:styleId="Voetnoottekens">
    <w:name w:val="Voetnoottekens"/>
    <w:rsid w:val="006C69FE"/>
  </w:style>
  <w:style w:type="character" w:styleId="Voetnootmarkering">
    <w:name w:val="footnote reference"/>
    <w:rsid w:val="006C69FE"/>
    <w:rPr>
      <w:vertAlign w:val="superscript"/>
    </w:rPr>
  </w:style>
  <w:style w:type="paragraph" w:styleId="Voetnoottekst">
    <w:name w:val="footnote text"/>
    <w:basedOn w:val="Standaard"/>
    <w:link w:val="VoetnoottekstChar"/>
    <w:rsid w:val="006C69FE"/>
    <w:pPr>
      <w:suppressLineNumbers/>
      <w:suppressAutoHyphens/>
      <w:spacing w:line="300" w:lineRule="atLeast"/>
      <w:ind w:left="283" w:hanging="283"/>
    </w:pPr>
    <w:rPr>
      <w:sz w:val="20"/>
      <w:szCs w:val="20"/>
      <w:lang w:eastAsia="ar-SA"/>
    </w:rPr>
  </w:style>
  <w:style w:type="character" w:customStyle="1" w:styleId="VoetnoottekstChar">
    <w:name w:val="Voetnoottekst Char"/>
    <w:basedOn w:val="Standaardalinea-lettertype"/>
    <w:link w:val="Voetnoottekst"/>
    <w:rsid w:val="006C69FE"/>
    <w:rPr>
      <w:rFonts w:ascii="Verdana" w:hAnsi="Verdana" w:cs="Times New Roman"/>
      <w:sz w:val="20"/>
      <w:szCs w:val="20"/>
      <w:lang w:eastAsia="ar-SA"/>
    </w:rPr>
  </w:style>
  <w:style w:type="paragraph" w:styleId="Ballontekst">
    <w:name w:val="Balloon Text"/>
    <w:basedOn w:val="Standaard"/>
    <w:link w:val="BallontekstChar"/>
    <w:uiPriority w:val="99"/>
    <w:semiHidden/>
    <w:unhideWhenUsed/>
    <w:rsid w:val="006C69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9F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C866E89E</Template>
  <TotalTime>0</TotalTime>
  <Pages>6</Pages>
  <Words>910</Words>
  <Characters>5006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Klerk, Nancy de</dc:creator>
  <cp:keywords/>
  <dc:description/>
  <cp:lastModifiedBy>Rose, Anneke La</cp:lastModifiedBy>
  <cp:revision>2</cp:revision>
  <cp:lastPrinted>2014-11-10T12:38:00Z</cp:lastPrinted>
  <dcterms:created xsi:type="dcterms:W3CDTF">2017-05-15T14:42:00Z</dcterms:created>
  <dcterms:modified xsi:type="dcterms:W3CDTF">2017-05-15T14:42:00Z</dcterms:modified>
</cp:coreProperties>
</file>